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73A25" w14:textId="77777777" w:rsidR="00F836CF" w:rsidRPr="00F836CF" w:rsidRDefault="00F836CF" w:rsidP="00FF7CE2">
      <w:pPr>
        <w:jc w:val="center"/>
        <w:rPr>
          <w:rFonts w:ascii="Dubai" w:hAnsi="Dubai" w:cs="Dubai"/>
          <w:b/>
          <w:bCs/>
          <w:sz w:val="24"/>
          <w:szCs w:val="24"/>
        </w:rPr>
      </w:pPr>
    </w:p>
    <w:p w14:paraId="69A84957" w14:textId="003864FF" w:rsidR="00322BA9" w:rsidRPr="00F836CF" w:rsidRDefault="00322BA9" w:rsidP="00FF7CE2">
      <w:pPr>
        <w:jc w:val="center"/>
        <w:rPr>
          <w:rFonts w:ascii="Dubai" w:hAnsi="Dubai" w:cs="Dubai"/>
          <w:b/>
          <w:bCs/>
          <w:sz w:val="24"/>
          <w:szCs w:val="24"/>
        </w:rPr>
      </w:pPr>
      <w:r w:rsidRPr="00F836CF">
        <w:rPr>
          <w:rFonts w:ascii="Dubai" w:hAnsi="Dubai" w:cs="Dubai"/>
          <w:b/>
          <w:bCs/>
          <w:sz w:val="24"/>
          <w:szCs w:val="24"/>
        </w:rPr>
        <w:t>Presupuesto con Perspectiva de Género PPG</w:t>
      </w:r>
    </w:p>
    <w:p w14:paraId="11EAEAF9" w14:textId="3E948622" w:rsidR="00DC0387" w:rsidRPr="00F836CF" w:rsidRDefault="00B65A9E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El PP</w:t>
      </w:r>
      <w:r w:rsidR="00322BA9" w:rsidRPr="00F836CF">
        <w:rPr>
          <w:rFonts w:ascii="Dubai" w:hAnsi="Dubai" w:cs="Dubai"/>
        </w:rPr>
        <w:t>G</w:t>
      </w:r>
      <w:r w:rsidRPr="00F836CF">
        <w:rPr>
          <w:rFonts w:ascii="Dubai" w:hAnsi="Dubai" w:cs="Dubai"/>
        </w:rPr>
        <w:t xml:space="preserve"> no solo está orientado a promover la igualdad entre varones y sujetos feminizados, sino que reduce la brecha que existe en el acceso a derechos, tendiendo a garantizarlos a todos los géneros.</w:t>
      </w:r>
    </w:p>
    <w:p w14:paraId="660C5C2B" w14:textId="3120BFF3" w:rsidR="00322BA9" w:rsidRPr="00F836CF" w:rsidRDefault="00322BA9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Esta herramienta evalúa el impacto que tienen los distintos programas presupuestarios sobre los sujetos feminizados. De este modo, el análisis presupuestario con perspectiva de género se realiza en referencia a todos y cada uno de los programas y actividades del presupuesto de manera que obtengamos un resultado con impacto global sobre varones, mujeres y colectivo LGTBIQ+. </w:t>
      </w:r>
    </w:p>
    <w:p w14:paraId="0338C40D" w14:textId="414CEE84" w:rsidR="00322BA9" w:rsidRPr="00F836CF" w:rsidRDefault="00322BA9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El PP</w:t>
      </w:r>
      <w:r w:rsidR="00CB2E0B" w:rsidRPr="00F836CF">
        <w:rPr>
          <w:rFonts w:ascii="Dubai" w:hAnsi="Dubai" w:cs="Dubai"/>
        </w:rPr>
        <w:t>G</w:t>
      </w:r>
      <w:r w:rsidRPr="00F836CF">
        <w:rPr>
          <w:rFonts w:ascii="Dubai" w:hAnsi="Dubai" w:cs="Dubai"/>
        </w:rPr>
        <w:t xml:space="preserve"> no es simplemente una diferenciación de los recursos y gastos destinados a varones y mujeres, o a la generación de presupuestos destinados solo a mujeres, sino que se aplica de manera transversal a todas las fases presupuestarias para asegurarnos que haya suficiente conciencia de género en todas las políticas a llevar a cabo.</w:t>
      </w:r>
    </w:p>
    <w:p w14:paraId="5713EE95" w14:textId="77777777" w:rsidR="00915542" w:rsidRPr="00F836CF" w:rsidRDefault="00915542" w:rsidP="00915542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El análisis de un PPG permite:</w:t>
      </w:r>
    </w:p>
    <w:p w14:paraId="32B4AC5C" w14:textId="77777777" w:rsidR="00915542" w:rsidRPr="00F836CF" w:rsidRDefault="00915542" w:rsidP="00915542">
      <w:pPr>
        <w:jc w:val="both"/>
        <w:rPr>
          <w:rFonts w:ascii="Dubai" w:hAnsi="Dubai" w:cs="Dubai"/>
        </w:rPr>
      </w:pPr>
      <w:r w:rsidRPr="00F836CF">
        <w:rPr>
          <w:rFonts w:ascii="Segoe UI Symbol" w:hAnsi="Segoe UI Symbol" w:cs="Segoe UI Symbol"/>
        </w:rPr>
        <w:t>✓</w:t>
      </w:r>
      <w:r w:rsidRPr="00F836CF">
        <w:rPr>
          <w:rFonts w:ascii="Dubai" w:hAnsi="Dubai" w:cs="Dubai"/>
        </w:rPr>
        <w:t xml:space="preserve"> Evaluar el cumplimiento de las obligaciones del estado municipal en materia de DDHH.</w:t>
      </w:r>
    </w:p>
    <w:p w14:paraId="58452448" w14:textId="77777777" w:rsidR="00915542" w:rsidRPr="00F836CF" w:rsidRDefault="00915542" w:rsidP="00915542">
      <w:pPr>
        <w:jc w:val="both"/>
        <w:rPr>
          <w:rFonts w:ascii="Dubai" w:hAnsi="Dubai" w:cs="Dubai"/>
        </w:rPr>
      </w:pPr>
      <w:r w:rsidRPr="00F836CF">
        <w:rPr>
          <w:rFonts w:ascii="Segoe UI Symbol" w:hAnsi="Segoe UI Symbol" w:cs="Segoe UI Symbol"/>
        </w:rPr>
        <w:t>✓</w:t>
      </w:r>
      <w:r w:rsidRPr="00F836CF">
        <w:rPr>
          <w:rFonts w:ascii="Dubai" w:hAnsi="Dubai" w:cs="Dubai"/>
        </w:rPr>
        <w:t xml:space="preserve"> Contar con herramientas para avanzar hacia la igualdad entre varones y sujetos feminizados.</w:t>
      </w:r>
    </w:p>
    <w:p w14:paraId="6F8DB658" w14:textId="77777777" w:rsidR="00915542" w:rsidRPr="00F836CF" w:rsidRDefault="00915542" w:rsidP="00915542">
      <w:pPr>
        <w:jc w:val="both"/>
        <w:rPr>
          <w:rFonts w:ascii="Dubai" w:hAnsi="Dubai" w:cs="Dubai"/>
        </w:rPr>
      </w:pPr>
      <w:r w:rsidRPr="00F836CF">
        <w:rPr>
          <w:rFonts w:ascii="Segoe UI Symbol" w:hAnsi="Segoe UI Symbol" w:cs="Segoe UI Symbol"/>
        </w:rPr>
        <w:t>✓</w:t>
      </w:r>
      <w:r w:rsidRPr="00F836CF">
        <w:rPr>
          <w:rFonts w:ascii="Dubai" w:hAnsi="Dubai" w:cs="Dubai"/>
        </w:rPr>
        <w:t xml:space="preserve"> Discutir sobre el efecto que las políticas, programas, planes y actividades del presupuesto tienen en los sujetos feminizados.</w:t>
      </w:r>
    </w:p>
    <w:p w14:paraId="7388D59A" w14:textId="55252D7E" w:rsidR="00915542" w:rsidRPr="00F836CF" w:rsidRDefault="00915542" w:rsidP="00322BA9">
      <w:pPr>
        <w:jc w:val="both"/>
        <w:rPr>
          <w:rFonts w:ascii="Dubai" w:hAnsi="Dubai" w:cs="Dubai"/>
        </w:rPr>
      </w:pPr>
      <w:r w:rsidRPr="00F836CF">
        <w:rPr>
          <w:rFonts w:ascii="Segoe UI Symbol" w:hAnsi="Segoe UI Symbol" w:cs="Segoe UI Symbol"/>
        </w:rPr>
        <w:t>✓</w:t>
      </w:r>
      <w:r w:rsidRPr="00F836CF">
        <w:rPr>
          <w:rFonts w:ascii="Dubai" w:hAnsi="Dubai" w:cs="Dubai"/>
        </w:rPr>
        <w:t xml:space="preserve"> Generar información sobre las implicancias de género de los gastos y recaudaciones del gobierno municipal.</w:t>
      </w:r>
    </w:p>
    <w:p w14:paraId="285C3270" w14:textId="2600662E" w:rsidR="007040A0" w:rsidRPr="00F836CF" w:rsidRDefault="00C03DDB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El 202</w:t>
      </w:r>
      <w:r w:rsidR="008A08EA" w:rsidRPr="00F836CF">
        <w:rPr>
          <w:rFonts w:ascii="Dubai" w:hAnsi="Dubai" w:cs="Dubai"/>
        </w:rPr>
        <w:t>5</w:t>
      </w:r>
      <w:r w:rsidRPr="00F836CF">
        <w:rPr>
          <w:rFonts w:ascii="Dubai" w:hAnsi="Dubai" w:cs="Dubai"/>
        </w:rPr>
        <w:t xml:space="preserve"> es el </w:t>
      </w:r>
      <w:r w:rsidR="008A08EA" w:rsidRPr="00F836CF">
        <w:rPr>
          <w:rFonts w:ascii="Dubai" w:hAnsi="Dubai" w:cs="Dubai"/>
        </w:rPr>
        <w:t>tercer</w:t>
      </w:r>
      <w:r w:rsidRPr="00F836CF">
        <w:rPr>
          <w:rFonts w:ascii="Dubai" w:hAnsi="Dubai" w:cs="Dubai"/>
        </w:rPr>
        <w:t xml:space="preserve"> año consecutivo que se implementa PPG, haciendo capacitaciones en materia de género y manteniendo reuniones con las diferentes áreas con el fin de elaborar un presupuesto considerando las diferentes políticas implementadas, repasando las metas y su exposición en ellas. </w:t>
      </w:r>
    </w:p>
    <w:p w14:paraId="6613AF2C" w14:textId="7550FD6B" w:rsidR="00C03DDB" w:rsidRPr="00F836CF" w:rsidRDefault="00C03DDB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 xml:space="preserve">En la información suministrada por el área de </w:t>
      </w:r>
      <w:r w:rsidR="00F836CF">
        <w:rPr>
          <w:rFonts w:ascii="Dubai" w:hAnsi="Dubai" w:cs="Dubai"/>
        </w:rPr>
        <w:t>P</w:t>
      </w:r>
      <w:r w:rsidRPr="00F836CF">
        <w:rPr>
          <w:rFonts w:ascii="Dubai" w:hAnsi="Dubai" w:cs="Dubai"/>
        </w:rPr>
        <w:t>resupuesto, puede verse reflejado en números</w:t>
      </w:r>
      <w:r w:rsidR="00915542" w:rsidRPr="00F836CF">
        <w:rPr>
          <w:rFonts w:ascii="Dubai" w:hAnsi="Dubai" w:cs="Dubai"/>
        </w:rPr>
        <w:t xml:space="preserve"> el impacto que ha tenido el PPG sobre el presupuesto total anual del año 202</w:t>
      </w:r>
      <w:r w:rsidR="008A08EA" w:rsidRPr="00F836CF">
        <w:rPr>
          <w:rFonts w:ascii="Dubai" w:hAnsi="Dubai" w:cs="Dubai"/>
        </w:rPr>
        <w:t>4</w:t>
      </w:r>
      <w:r w:rsidR="00915542" w:rsidRPr="00F836CF">
        <w:rPr>
          <w:rFonts w:ascii="Dubai" w:hAnsi="Dubai" w:cs="Dubai"/>
        </w:rPr>
        <w:t>.</w:t>
      </w:r>
    </w:p>
    <w:p w14:paraId="6F4EB93C" w14:textId="77777777" w:rsidR="00F836CF" w:rsidRDefault="00F836CF" w:rsidP="00915542">
      <w:pPr>
        <w:jc w:val="center"/>
        <w:rPr>
          <w:rFonts w:ascii="Dubai" w:hAnsi="Dubai" w:cs="Dubai"/>
        </w:rPr>
      </w:pPr>
    </w:p>
    <w:p w14:paraId="40111986" w14:textId="77777777" w:rsidR="00F836CF" w:rsidRDefault="00F836CF" w:rsidP="00915542">
      <w:pPr>
        <w:jc w:val="center"/>
        <w:rPr>
          <w:rFonts w:ascii="Dubai" w:hAnsi="Dubai" w:cs="Dubai"/>
        </w:rPr>
      </w:pPr>
    </w:p>
    <w:p w14:paraId="016979C1" w14:textId="3A25328D" w:rsidR="00915542" w:rsidRPr="00F836CF" w:rsidRDefault="00915542" w:rsidP="00915542">
      <w:pPr>
        <w:jc w:val="center"/>
        <w:rPr>
          <w:rFonts w:ascii="Dubai" w:hAnsi="Dubai" w:cs="Dubai"/>
        </w:rPr>
      </w:pPr>
      <w:r w:rsidRPr="00F836CF">
        <w:rPr>
          <w:rFonts w:ascii="Dubai" w:hAnsi="Dubai" w:cs="Dubai"/>
        </w:rPr>
        <w:t>PRESUPUESTO 202</w:t>
      </w:r>
      <w:r w:rsidR="008A08EA" w:rsidRPr="00F836CF">
        <w:rPr>
          <w:rFonts w:ascii="Dubai" w:hAnsi="Dubai" w:cs="Dubai"/>
        </w:rPr>
        <w:t>4</w:t>
      </w:r>
    </w:p>
    <w:tbl>
      <w:tblPr>
        <w:tblStyle w:val="Tablaconcuadrcula"/>
        <w:tblW w:w="0" w:type="auto"/>
        <w:tblInd w:w="1980" w:type="dxa"/>
        <w:tblLook w:val="04A0" w:firstRow="1" w:lastRow="0" w:firstColumn="1" w:lastColumn="0" w:noHBand="0" w:noVBand="1"/>
      </w:tblPr>
      <w:tblGrid>
        <w:gridCol w:w="2267"/>
        <w:gridCol w:w="2269"/>
      </w:tblGrid>
      <w:tr w:rsidR="00915542" w:rsidRPr="00F836CF" w14:paraId="18E0DC5B" w14:textId="77777777" w:rsidTr="00915542">
        <w:tc>
          <w:tcPr>
            <w:tcW w:w="2267" w:type="dxa"/>
          </w:tcPr>
          <w:p w14:paraId="4EF9A204" w14:textId="35BB2B62" w:rsidR="00915542" w:rsidRPr="00F836CF" w:rsidRDefault="00915542" w:rsidP="00322BA9">
            <w:pPr>
              <w:jc w:val="both"/>
              <w:rPr>
                <w:rFonts w:ascii="Dubai" w:hAnsi="Dubai" w:cs="Dubai"/>
              </w:rPr>
            </w:pPr>
            <w:r w:rsidRPr="00F836CF">
              <w:rPr>
                <w:rFonts w:ascii="Dubai" w:hAnsi="Dubai" w:cs="Dubai"/>
              </w:rPr>
              <w:t xml:space="preserve"> Vigente</w:t>
            </w:r>
          </w:p>
        </w:tc>
        <w:tc>
          <w:tcPr>
            <w:tcW w:w="2269" w:type="dxa"/>
          </w:tcPr>
          <w:p w14:paraId="59C94174" w14:textId="6E21A725" w:rsidR="00915542" w:rsidRPr="00F836CF" w:rsidRDefault="00915542" w:rsidP="00322BA9">
            <w:pPr>
              <w:jc w:val="both"/>
              <w:rPr>
                <w:rFonts w:ascii="Dubai" w:hAnsi="Dubai" w:cs="Dubai"/>
              </w:rPr>
            </w:pPr>
            <w:r w:rsidRPr="00F836CF">
              <w:rPr>
                <w:rFonts w:ascii="Dubai" w:hAnsi="Dubai" w:cs="Dubai"/>
              </w:rPr>
              <w:t>$</w:t>
            </w:r>
            <w:r w:rsidR="00B43DFE">
              <w:rPr>
                <w:rFonts w:ascii="Dubai" w:hAnsi="Dubai" w:cs="Dubai"/>
              </w:rPr>
              <w:t xml:space="preserve"> </w:t>
            </w:r>
            <w:r w:rsidR="00F836CF">
              <w:rPr>
                <w:rFonts w:ascii="Dubai" w:hAnsi="Dubai" w:cs="Dubai"/>
              </w:rPr>
              <w:t>5.502.720.731,14</w:t>
            </w:r>
          </w:p>
        </w:tc>
      </w:tr>
      <w:tr w:rsidR="00915542" w:rsidRPr="00F836CF" w14:paraId="2B60A9A1" w14:textId="77777777" w:rsidTr="00915542">
        <w:tc>
          <w:tcPr>
            <w:tcW w:w="2267" w:type="dxa"/>
          </w:tcPr>
          <w:p w14:paraId="0572410A" w14:textId="6D0C0E2E" w:rsidR="00915542" w:rsidRPr="00F836CF" w:rsidRDefault="00915542" w:rsidP="00322BA9">
            <w:pPr>
              <w:jc w:val="both"/>
              <w:rPr>
                <w:rFonts w:ascii="Dubai" w:hAnsi="Dubai" w:cs="Dubai"/>
              </w:rPr>
            </w:pPr>
            <w:r w:rsidRPr="00F836CF">
              <w:rPr>
                <w:rFonts w:ascii="Dubai" w:hAnsi="Dubai" w:cs="Dubai"/>
              </w:rPr>
              <w:t>Devengado</w:t>
            </w:r>
          </w:p>
        </w:tc>
        <w:tc>
          <w:tcPr>
            <w:tcW w:w="2269" w:type="dxa"/>
          </w:tcPr>
          <w:p w14:paraId="0B35D608" w14:textId="76C491FE" w:rsidR="00915542" w:rsidRPr="00F836CF" w:rsidRDefault="00915542" w:rsidP="00322BA9">
            <w:pPr>
              <w:jc w:val="both"/>
              <w:rPr>
                <w:rFonts w:ascii="Dubai" w:hAnsi="Dubai" w:cs="Dubai"/>
              </w:rPr>
            </w:pPr>
            <w:r w:rsidRPr="00F836CF">
              <w:rPr>
                <w:rFonts w:ascii="Dubai" w:hAnsi="Dubai" w:cs="Dubai"/>
              </w:rPr>
              <w:t>$</w:t>
            </w:r>
            <w:r w:rsidR="00B43DFE">
              <w:rPr>
                <w:rFonts w:ascii="Dubai" w:hAnsi="Dubai" w:cs="Dubai"/>
              </w:rPr>
              <w:t xml:space="preserve"> </w:t>
            </w:r>
            <w:r w:rsidR="00F836CF">
              <w:rPr>
                <w:rFonts w:ascii="Dubai" w:hAnsi="Dubai" w:cs="Dubai"/>
              </w:rPr>
              <w:t>9.398661.103,33</w:t>
            </w:r>
          </w:p>
        </w:tc>
      </w:tr>
    </w:tbl>
    <w:p w14:paraId="61CF2633" w14:textId="77777777" w:rsidR="00915542" w:rsidRPr="00F836CF" w:rsidRDefault="00915542" w:rsidP="00322BA9">
      <w:pPr>
        <w:jc w:val="both"/>
        <w:rPr>
          <w:rFonts w:ascii="Dubai" w:hAnsi="Dubai" w:cs="Dubai"/>
        </w:rPr>
      </w:pPr>
    </w:p>
    <w:p w14:paraId="4C3481F6" w14:textId="17DDBD22" w:rsidR="00915542" w:rsidRPr="00F836CF" w:rsidRDefault="00915542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Esto demuestra una ejecución del 1</w:t>
      </w:r>
      <w:r w:rsidR="00F836CF">
        <w:rPr>
          <w:rFonts w:ascii="Dubai" w:hAnsi="Dubai" w:cs="Dubai"/>
        </w:rPr>
        <w:t>70.80</w:t>
      </w:r>
      <w:r w:rsidRPr="00F836CF">
        <w:rPr>
          <w:rFonts w:ascii="Dubai" w:hAnsi="Dubai" w:cs="Dubai"/>
        </w:rPr>
        <w:t>%</w:t>
      </w:r>
    </w:p>
    <w:p w14:paraId="40B0C8AF" w14:textId="11A47C51" w:rsidR="00234FD4" w:rsidRPr="00F836CF" w:rsidRDefault="00915542" w:rsidP="00322BA9">
      <w:pPr>
        <w:jc w:val="both"/>
        <w:rPr>
          <w:rFonts w:ascii="Dubai" w:hAnsi="Dubai" w:cs="Dubai"/>
        </w:rPr>
      </w:pPr>
      <w:r w:rsidRPr="00F836CF">
        <w:rPr>
          <w:rFonts w:ascii="Dubai" w:hAnsi="Dubai" w:cs="Dubai"/>
        </w:rPr>
        <w:t>En lo que respecta al PRESUPUESTO 202</w:t>
      </w:r>
      <w:r w:rsidR="00F836CF">
        <w:rPr>
          <w:rFonts w:ascii="Dubai" w:hAnsi="Dubai" w:cs="Dubai"/>
        </w:rPr>
        <w:t>5</w:t>
      </w:r>
      <w:r w:rsidRPr="00F836CF">
        <w:rPr>
          <w:rFonts w:ascii="Dubai" w:hAnsi="Dubai" w:cs="Dubai"/>
        </w:rPr>
        <w:t>, el PPG representa un 3</w:t>
      </w:r>
      <w:r w:rsidR="00F836CF">
        <w:rPr>
          <w:rFonts w:ascii="Dubai" w:hAnsi="Dubai" w:cs="Dubai"/>
        </w:rPr>
        <w:t>8</w:t>
      </w:r>
      <w:r w:rsidRPr="00F836CF">
        <w:rPr>
          <w:rFonts w:ascii="Dubai" w:hAnsi="Dubai" w:cs="Dubai"/>
        </w:rPr>
        <w:t>,</w:t>
      </w:r>
      <w:r w:rsidR="00F836CF">
        <w:rPr>
          <w:rFonts w:ascii="Dubai" w:hAnsi="Dubai" w:cs="Dubai"/>
        </w:rPr>
        <w:t>74</w:t>
      </w:r>
      <w:r w:rsidRPr="00F836CF">
        <w:rPr>
          <w:rFonts w:ascii="Dubai" w:hAnsi="Dubai" w:cs="Dubai"/>
        </w:rPr>
        <w:t xml:space="preserve">% del presupuesto total anual para dicho ejercicio, lo que implica un incremento del </w:t>
      </w:r>
      <w:r w:rsidR="00F836CF">
        <w:rPr>
          <w:rFonts w:ascii="Dubai" w:hAnsi="Dubai" w:cs="Dubai"/>
        </w:rPr>
        <w:t>7.26</w:t>
      </w:r>
      <w:r w:rsidRPr="00F836CF">
        <w:rPr>
          <w:rFonts w:ascii="Dubai" w:hAnsi="Dubai" w:cs="Dubai"/>
        </w:rPr>
        <w:t xml:space="preserve">% en la aplicación de políticas en materia de género, destinadas a la reducción de las brechas existentes. </w:t>
      </w:r>
    </w:p>
    <w:p w14:paraId="4922FF5F" w14:textId="5EABC8EF" w:rsidR="00234FD4" w:rsidRPr="00F836CF" w:rsidRDefault="00234FD4" w:rsidP="00322BA9">
      <w:pPr>
        <w:jc w:val="both"/>
        <w:rPr>
          <w:rFonts w:ascii="Dubai" w:hAnsi="Dubai" w:cs="Dubai"/>
        </w:rPr>
      </w:pPr>
    </w:p>
    <w:p w14:paraId="7F486877" w14:textId="0D9C9CC4" w:rsidR="00234FD4" w:rsidRPr="00F836CF" w:rsidRDefault="00234FD4" w:rsidP="00322BA9">
      <w:pPr>
        <w:jc w:val="both"/>
        <w:rPr>
          <w:rFonts w:ascii="Dubai" w:hAnsi="Dubai" w:cs="Dubai"/>
        </w:rPr>
      </w:pPr>
    </w:p>
    <w:sectPr w:rsidR="00234FD4" w:rsidRPr="00F836C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A1CD2" w14:textId="77777777" w:rsidR="00102B1D" w:rsidRDefault="00102B1D" w:rsidP="00407379">
      <w:pPr>
        <w:spacing w:after="0" w:line="240" w:lineRule="auto"/>
      </w:pPr>
      <w:r>
        <w:separator/>
      </w:r>
    </w:p>
  </w:endnote>
  <w:endnote w:type="continuationSeparator" w:id="0">
    <w:p w14:paraId="5F8D6EA5" w14:textId="77777777" w:rsidR="00102B1D" w:rsidRDefault="00102B1D" w:rsidP="00407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D99C3" w14:textId="77777777" w:rsidR="00102B1D" w:rsidRDefault="00102B1D" w:rsidP="00407379">
      <w:pPr>
        <w:spacing w:after="0" w:line="240" w:lineRule="auto"/>
      </w:pPr>
      <w:r>
        <w:separator/>
      </w:r>
    </w:p>
  </w:footnote>
  <w:footnote w:type="continuationSeparator" w:id="0">
    <w:p w14:paraId="1613306B" w14:textId="77777777" w:rsidR="00102B1D" w:rsidRDefault="00102B1D" w:rsidP="00407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C1017" w14:textId="0D408B9B" w:rsidR="00407379" w:rsidRPr="00F836CF" w:rsidRDefault="00F836CF">
    <w:pPr>
      <w:pStyle w:val="Encabezado"/>
      <w:rPr>
        <w:rFonts w:ascii="Dubai" w:hAnsi="Dubai" w:cs="Dubai"/>
      </w:rPr>
    </w:pPr>
    <w:r w:rsidRPr="00F836CF">
      <w:rPr>
        <w:rFonts w:ascii="Dubai" w:hAnsi="Dubai" w:cs="Dubai"/>
        <w:noProof/>
      </w:rPr>
      <w:drawing>
        <wp:anchor distT="0" distB="0" distL="114300" distR="114300" simplePos="0" relativeHeight="251658240" behindDoc="0" locked="0" layoutInCell="1" allowOverlap="1" wp14:anchorId="1F4C9F6C" wp14:editId="1BE7EF20">
          <wp:simplePos x="0" y="0"/>
          <wp:positionH relativeFrom="column">
            <wp:posOffset>5651500</wp:posOffset>
          </wp:positionH>
          <wp:positionV relativeFrom="page">
            <wp:posOffset>276225</wp:posOffset>
          </wp:positionV>
          <wp:extent cx="478155" cy="494665"/>
          <wp:effectExtent l="0" t="0" r="0" b="635"/>
          <wp:wrapThrough wrapText="bothSides">
            <wp:wrapPolygon edited="0">
              <wp:start x="0" y="0"/>
              <wp:lineTo x="0" y="20796"/>
              <wp:lineTo x="20653" y="20796"/>
              <wp:lineTo x="20653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" cy="494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7379" w:rsidRPr="00F836CF">
      <w:rPr>
        <w:rFonts w:ascii="Dubai" w:hAnsi="Dubai" w:cs="Dubai"/>
      </w:rPr>
      <w:t xml:space="preserve">       </w:t>
    </w:r>
    <w:r>
      <w:rPr>
        <w:noProof/>
        <w:lang w:eastAsia="es-AR"/>
      </w:rPr>
      <w:drawing>
        <wp:inline distT="0" distB="0" distL="0" distR="0" wp14:anchorId="0C369FE3" wp14:editId="26A0807D">
          <wp:extent cx="581025" cy="639610"/>
          <wp:effectExtent l="0" t="0" r="0" b="8255"/>
          <wp:docPr id="992731034" name="Imagen 9927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443" cy="64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7379" w:rsidRPr="00F836CF">
      <w:rPr>
        <w:rFonts w:ascii="Dubai" w:hAnsi="Dubai" w:cs="Dubai"/>
      </w:rPr>
      <w:t xml:space="preserve">             </w:t>
    </w:r>
    <w:r w:rsidR="00B62767" w:rsidRPr="00F836CF">
      <w:rPr>
        <w:rFonts w:ascii="Dubai" w:hAnsi="Dubai" w:cs="Dubai"/>
        <w:color w:val="A6A6A6" w:themeColor="background1" w:themeShade="A6"/>
        <w:sz w:val="18"/>
        <w:szCs w:val="18"/>
      </w:rPr>
      <w:t xml:space="preserve">"2024 - Año del 75° Aniversario de la gratuidad universitaria en la </w:t>
    </w:r>
    <w:proofErr w:type="gramStart"/>
    <w:r w:rsidR="00B62767" w:rsidRPr="00F836CF">
      <w:rPr>
        <w:rFonts w:ascii="Dubai" w:hAnsi="Dubai" w:cs="Dubai"/>
        <w:color w:val="A6A6A6" w:themeColor="background1" w:themeShade="A6"/>
        <w:sz w:val="18"/>
        <w:szCs w:val="18"/>
      </w:rPr>
      <w:t>República  Argentina</w:t>
    </w:r>
    <w:proofErr w:type="gramEnd"/>
    <w:r w:rsidR="00B62767" w:rsidRPr="00F836CF">
      <w:rPr>
        <w:rFonts w:ascii="Dubai" w:hAnsi="Dubai" w:cs="Dubai"/>
        <w:color w:val="A6A6A6" w:themeColor="background1" w:themeShade="A6"/>
        <w:sz w:val="18"/>
        <w:szCs w:val="18"/>
      </w:rPr>
      <w:t>"</w:t>
    </w:r>
    <w:r w:rsidR="00407379" w:rsidRPr="00F836CF">
      <w:rPr>
        <w:rFonts w:ascii="Dubai" w:hAnsi="Dubai" w:cs="Dubai"/>
      </w:rPr>
      <w:t xml:space="preserve">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FDC"/>
    <w:rsid w:val="00051743"/>
    <w:rsid w:val="00102B1D"/>
    <w:rsid w:val="0016262F"/>
    <w:rsid w:val="00234FD4"/>
    <w:rsid w:val="00322BA9"/>
    <w:rsid w:val="00363F8A"/>
    <w:rsid w:val="00407379"/>
    <w:rsid w:val="004D5E6F"/>
    <w:rsid w:val="007040A0"/>
    <w:rsid w:val="008470B1"/>
    <w:rsid w:val="008A08EA"/>
    <w:rsid w:val="008E27D4"/>
    <w:rsid w:val="00915542"/>
    <w:rsid w:val="009327F3"/>
    <w:rsid w:val="00B43DFE"/>
    <w:rsid w:val="00B62767"/>
    <w:rsid w:val="00B65A9E"/>
    <w:rsid w:val="00BC6349"/>
    <w:rsid w:val="00C03DDB"/>
    <w:rsid w:val="00CB2E0B"/>
    <w:rsid w:val="00D44FDC"/>
    <w:rsid w:val="00DC0387"/>
    <w:rsid w:val="00DC4A29"/>
    <w:rsid w:val="00F836CF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54CFBE"/>
  <w15:chartTrackingRefBased/>
  <w15:docId w15:val="{3A5A6A83-73FF-4EE9-970C-50BA5A45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3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379"/>
  </w:style>
  <w:style w:type="paragraph" w:styleId="Piedepgina">
    <w:name w:val="footer"/>
    <w:basedOn w:val="Normal"/>
    <w:link w:val="PiedepginaCar"/>
    <w:uiPriority w:val="99"/>
    <w:unhideWhenUsed/>
    <w:rsid w:val="004073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379"/>
  </w:style>
  <w:style w:type="table" w:styleId="Tablaconcuadrcula">
    <w:name w:val="Table Grid"/>
    <w:basedOn w:val="Tablanormal"/>
    <w:uiPriority w:val="39"/>
    <w:rsid w:val="00915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Lafuente</dc:creator>
  <cp:keywords/>
  <dc:description/>
  <cp:lastModifiedBy>Melisa Lafuente</cp:lastModifiedBy>
  <cp:revision>6</cp:revision>
  <cp:lastPrinted>2023-12-15T13:53:00Z</cp:lastPrinted>
  <dcterms:created xsi:type="dcterms:W3CDTF">2024-12-05T11:14:00Z</dcterms:created>
  <dcterms:modified xsi:type="dcterms:W3CDTF">2024-12-05T11:35:00Z</dcterms:modified>
</cp:coreProperties>
</file>